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Calibri" w:hAnsi="Calibri" w:eastAsia="宋体" w:cs="Times New Roman"/>
          <w:b/>
          <w:sz w:val="36"/>
          <w:szCs w:val="36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>第二单元《解密运算与逻辑》</w:t>
      </w:r>
      <w:r>
        <w:rPr>
          <w:rFonts w:hint="eastAsia" w:ascii="Calibri" w:hAnsi="Calibri" w:eastAsia="宋体" w:cs="Times New Roman"/>
          <w:b/>
          <w:sz w:val="28"/>
          <w:szCs w:val="28"/>
          <w:lang w:val="en-US" w:eastAsia="zh-CN"/>
        </w:rPr>
        <w:t>学习任务单</w:t>
      </w:r>
    </w:p>
    <w:tbl>
      <w:tblPr>
        <w:tblStyle w:val="5"/>
        <w:tblW w:w="90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78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课题</w:t>
            </w:r>
          </w:p>
        </w:tc>
        <w:tc>
          <w:tcPr>
            <w:tcW w:w="785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第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课《“非”运算巧妙控灯》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学习目标</w:t>
            </w:r>
          </w:p>
        </w:tc>
        <w:tc>
          <w:tcPr>
            <w:tcW w:w="7851" w:type="dxa"/>
            <w:noWrap w:val="0"/>
            <w:vAlign w:val="center"/>
          </w:tcPr>
          <w:p>
            <w:pPr>
              <w:tabs>
                <w:tab w:val="left" w:pos="312"/>
              </w:tabs>
              <w:spacing w:line="42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bookmarkStart w:id="0" w:name="_Toc21827"/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1.通过分析生活中的“非”运算案例，理解逻辑“非”的基本规则及其在控制场景中的应用，掌握“取反”的思维方法。</w:t>
            </w:r>
            <w:bookmarkEnd w:id="0"/>
          </w:p>
          <w:p>
            <w:pPr>
              <w:tabs>
                <w:tab w:val="left" w:pos="312"/>
              </w:tabs>
              <w:spacing w:line="42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bookmarkStart w:id="1" w:name="_Toc2490"/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2.结合“与”运算和“非”运算的综合应用，能够归纳声光控系统的工作原理，体会逻辑运算在解决实际问题中的关联性与功能性。</w:t>
            </w:r>
            <w:bookmarkEnd w:id="1"/>
          </w:p>
          <w:p>
            <w:pPr>
              <w:tabs>
                <w:tab w:val="left" w:pos="312"/>
              </w:tabs>
              <w:spacing w:line="42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bookmarkStart w:id="2" w:name="_Toc9868"/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3.通过设计并模拟声光控灯程序，运用“输入—判断—输出”模型绘制流程图或编写程序，提升逻辑推理与数字化实践能力。</w:t>
            </w:r>
            <w:bookmarkEnd w:id="2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学习任务</w:t>
            </w:r>
          </w:p>
        </w:tc>
        <w:tc>
          <w:tcPr>
            <w:tcW w:w="785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【课堂任务一】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请大家仔细阅读上述例子，填写表2.3.1，思考它们有什么共同点。</w:t>
            </w:r>
          </w:p>
          <w:p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表2.3.1 生活中的“非”运算案例分析表</w:t>
            </w:r>
          </w:p>
          <w:tbl>
            <w:tblPr>
              <w:tblStyle w:val="6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89"/>
              <w:gridCol w:w="1716"/>
              <w:gridCol w:w="1764"/>
              <w:gridCol w:w="218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2" w:hRule="atLeast"/>
                <w:jc w:val="center"/>
              </w:trPr>
              <w:tc>
                <w:tcPr>
                  <w:tcW w:w="1889" w:type="dxa"/>
                  <w:vAlign w:val="top"/>
                </w:tcPr>
                <w:p>
                  <w:p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描述场景</w:t>
                  </w:r>
                </w:p>
              </w:tc>
              <w:tc>
                <w:tcPr>
                  <w:tcW w:w="1716" w:type="dxa"/>
                  <w:vAlign w:val="top"/>
                </w:tcPr>
                <w:p>
                  <w:p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选择</w:t>
                  </w:r>
                </w:p>
              </w:tc>
              <w:tc>
                <w:tcPr>
                  <w:tcW w:w="1764" w:type="dxa"/>
                  <w:vAlign w:val="top"/>
                </w:tcPr>
                <w:p>
                  <w:p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舍弃</w:t>
                  </w:r>
                </w:p>
              </w:tc>
              <w:tc>
                <w:tcPr>
                  <w:tcW w:w="2189" w:type="dxa"/>
                  <w:vAlign w:val="top"/>
                </w:tcPr>
                <w:p>
                  <w:pPr>
                    <w:spacing w:line="360" w:lineRule="auto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“非”运算的效果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7" w:hRule="atLeast"/>
                <w:jc w:val="center"/>
              </w:trPr>
              <w:tc>
                <w:tcPr>
                  <w:tcW w:w="1889" w:type="dxa"/>
                  <w:vAlign w:val="top"/>
                </w:tcPr>
                <w:p>
                  <w:p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健康建议</w:t>
                  </w:r>
                </w:p>
              </w:tc>
              <w:tc>
                <w:tcPr>
                  <w:tcW w:w="1716" w:type="dxa"/>
                  <w:vAlign w:val="top"/>
                </w:tcPr>
                <w:p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“非高糖</w:t>
                  </w:r>
                </w:p>
              </w:tc>
              <w:tc>
                <w:tcPr>
                  <w:tcW w:w="1764" w:type="dxa"/>
                </w:tcPr>
                <w:p>
                  <w:p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</w:p>
              </w:tc>
              <w:tc>
                <w:tcPr>
                  <w:tcW w:w="2189" w:type="dxa"/>
                </w:tcPr>
                <w:p>
                  <w:p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7" w:hRule="atLeast"/>
                <w:jc w:val="center"/>
              </w:trPr>
              <w:tc>
                <w:tcPr>
                  <w:tcW w:w="1889" w:type="dxa"/>
                  <w:vAlign w:val="top"/>
                </w:tcPr>
                <w:p>
                  <w:p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招聘选择</w:t>
                  </w:r>
                </w:p>
              </w:tc>
              <w:tc>
                <w:tcPr>
                  <w:tcW w:w="1716" w:type="dxa"/>
                  <w:vAlign w:val="top"/>
                </w:tcPr>
                <w:p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“非吸烟者”</w:t>
                  </w:r>
                </w:p>
              </w:tc>
              <w:tc>
                <w:tcPr>
                  <w:tcW w:w="1764" w:type="dxa"/>
                </w:tcPr>
                <w:p>
                  <w:p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</w:p>
              </w:tc>
              <w:tc>
                <w:tcPr>
                  <w:tcW w:w="2189" w:type="dxa"/>
                </w:tcPr>
                <w:p>
                  <w:p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7" w:hRule="atLeast"/>
                <w:jc w:val="center"/>
              </w:trPr>
              <w:tc>
                <w:tcPr>
                  <w:tcW w:w="1889" w:type="dxa"/>
                  <w:vAlign w:val="top"/>
                </w:tcPr>
                <w:p>
                  <w:p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衣服选择</w:t>
                  </w:r>
                </w:p>
              </w:tc>
              <w:tc>
                <w:tcPr>
                  <w:tcW w:w="1716" w:type="dxa"/>
                  <w:vAlign w:val="top"/>
                </w:tcPr>
                <w:p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“非红色”</w:t>
                  </w:r>
                </w:p>
              </w:tc>
              <w:tc>
                <w:tcPr>
                  <w:tcW w:w="1764" w:type="dxa"/>
                </w:tcPr>
                <w:p>
                  <w:p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</w:p>
              </w:tc>
              <w:tc>
                <w:tcPr>
                  <w:tcW w:w="2189" w:type="dxa"/>
                </w:tcPr>
                <w:p>
                  <w:p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73" w:hRule="atLeast"/>
                <w:jc w:val="center"/>
              </w:trPr>
              <w:tc>
                <w:tcPr>
                  <w:tcW w:w="1889" w:type="dxa"/>
                  <w:vAlign w:val="top"/>
                </w:tcPr>
                <w:p>
                  <w:p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聚会着装</w:t>
                  </w:r>
                </w:p>
              </w:tc>
              <w:tc>
                <w:tcPr>
                  <w:tcW w:w="1716" w:type="dxa"/>
                </w:tcPr>
                <w:p>
                  <w:p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</w:p>
              </w:tc>
              <w:tc>
                <w:tcPr>
                  <w:tcW w:w="1764" w:type="dxa"/>
                </w:tcPr>
                <w:p>
                  <w:p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</w:p>
              </w:tc>
              <w:tc>
                <w:tcPr>
                  <w:tcW w:w="2189" w:type="dxa"/>
                </w:tcPr>
                <w:p>
                  <w:p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课堂任务二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】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请同学们思考你在生活中观察到的“非”运算案例，并完成表</w:t>
            </w:r>
            <w:r>
              <w:rPr>
                <w:rFonts w:hint="default" w:ascii="宋体" w:hAnsi="宋体" w:eastAsia="宋体" w:cs="宋体"/>
                <w:sz w:val="24"/>
                <w:lang w:val="en-US" w:eastAsia="zh-CN"/>
              </w:rPr>
              <w:t>2.3.2。</w:t>
            </w:r>
          </w:p>
          <w:p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表2.3.2“非”运算描述记录表</w:t>
            </w:r>
          </w:p>
          <w:tbl>
            <w:tblPr>
              <w:tblStyle w:val="6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588"/>
              <w:gridCol w:w="497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atLeast"/>
                <w:jc w:val="center"/>
              </w:trPr>
              <w:tc>
                <w:tcPr>
                  <w:tcW w:w="2588" w:type="dxa"/>
                </w:tcPr>
                <w:p>
                  <w:p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例子</w:t>
                  </w:r>
                </w:p>
              </w:tc>
              <w:tc>
                <w:tcPr>
                  <w:tcW w:w="4971" w:type="dxa"/>
                </w:tcPr>
                <w:p>
                  <w:p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“非”运算描述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atLeast"/>
                <w:jc w:val="center"/>
              </w:trPr>
              <w:tc>
                <w:tcPr>
                  <w:tcW w:w="2588" w:type="dxa"/>
                </w:tcPr>
                <w:p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桌上硬币面的朝向</w:t>
                  </w:r>
                </w:p>
              </w:tc>
              <w:tc>
                <w:tcPr>
                  <w:tcW w:w="4971" w:type="dxa"/>
                </w:tcPr>
                <w:p>
                  <w:pPr>
                    <w:spacing w:line="360" w:lineRule="auto"/>
                    <w:ind w:firstLine="480" w:firstLineChars="200"/>
                    <w:jc w:val="center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桌上硬币不是正面朝上就是反面朝上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3" w:hRule="atLeast"/>
                <w:jc w:val="center"/>
              </w:trPr>
              <w:tc>
                <w:tcPr>
                  <w:tcW w:w="2588" w:type="dxa"/>
                </w:tcPr>
                <w:p>
                  <w:pPr>
                    <w:spacing w:line="360" w:lineRule="auto"/>
                    <w:ind w:firstLine="480" w:firstLineChars="200"/>
                    <w:jc w:val="both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闹钟的设置</w:t>
                  </w:r>
                </w:p>
              </w:tc>
              <w:tc>
                <w:tcPr>
                  <w:tcW w:w="4971" w:type="dxa"/>
                </w:tcPr>
                <w:p>
                  <w:pPr>
                    <w:spacing w:line="360" w:lineRule="auto"/>
                    <w:ind w:firstLine="480" w:firstLineChars="200"/>
                    <w:jc w:val="center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7" w:hRule="atLeast"/>
                <w:jc w:val="center"/>
              </w:trPr>
              <w:tc>
                <w:tcPr>
                  <w:tcW w:w="2588" w:type="dxa"/>
                </w:tcPr>
                <w:p>
                  <w:p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</w:p>
              </w:tc>
              <w:tc>
                <w:tcPr>
                  <w:tcW w:w="4971" w:type="dxa"/>
                </w:tcPr>
                <w:p>
                  <w:p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  <w:jc w:val="center"/>
              </w:trPr>
              <w:tc>
                <w:tcPr>
                  <w:tcW w:w="2588" w:type="dxa"/>
                </w:tcPr>
                <w:p>
                  <w:p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</w:p>
              </w:tc>
              <w:tc>
                <w:tcPr>
                  <w:tcW w:w="4971" w:type="dxa"/>
                </w:tcPr>
                <w:p>
                  <w:p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课堂任务三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】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请同学们思考并分析生活中的案例，分析它们的初始状态以及经过“非”运算转换后的结果，用真值表示，完成表2.3.4。</w:t>
            </w:r>
          </w:p>
          <w:p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表2.3.4“非”运算状态转换表</w:t>
            </w:r>
          </w:p>
          <w:tbl>
            <w:tblPr>
              <w:tblStyle w:val="6"/>
              <w:tblW w:w="7698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77"/>
              <w:gridCol w:w="634"/>
              <w:gridCol w:w="1754"/>
              <w:gridCol w:w="674"/>
              <w:gridCol w:w="1593"/>
              <w:gridCol w:w="86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  <w:jc w:val="center"/>
              </w:trPr>
              <w:tc>
                <w:tcPr>
                  <w:tcW w:w="2177" w:type="dxa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情境或语句</w:t>
                  </w:r>
                </w:p>
              </w:tc>
              <w:tc>
                <w:tcPr>
                  <w:tcW w:w="634" w:type="dxa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真值</w:t>
                  </w:r>
                </w:p>
              </w:tc>
              <w:tc>
                <w:tcPr>
                  <w:tcW w:w="1754" w:type="dxa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第一次取反</w:t>
                  </w:r>
                </w:p>
              </w:tc>
              <w:tc>
                <w:tcPr>
                  <w:tcW w:w="674" w:type="dxa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真值</w:t>
                  </w:r>
                </w:p>
              </w:tc>
              <w:tc>
                <w:tcPr>
                  <w:tcW w:w="1593" w:type="dxa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第二次取反</w:t>
                  </w:r>
                </w:p>
              </w:tc>
              <w:tc>
                <w:tcPr>
                  <w:tcW w:w="866" w:type="dxa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真值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39" w:hRule="atLeast"/>
                <w:jc w:val="center"/>
              </w:trPr>
              <w:tc>
                <w:tcPr>
                  <w:tcW w:w="2177" w:type="dxa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人喜欢动画片</w:t>
                  </w:r>
                </w:p>
              </w:tc>
              <w:tc>
                <w:tcPr>
                  <w:tcW w:w="634" w:type="dxa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1</w:t>
                  </w:r>
                </w:p>
              </w:tc>
              <w:tc>
                <w:tcPr>
                  <w:tcW w:w="1754" w:type="dxa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人不喜欢动画片</w:t>
                  </w:r>
                </w:p>
              </w:tc>
              <w:tc>
                <w:tcPr>
                  <w:tcW w:w="674" w:type="dxa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0</w:t>
                  </w:r>
                </w:p>
              </w:tc>
              <w:tc>
                <w:tcPr>
                  <w:tcW w:w="1593" w:type="dxa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没有人不喜欢动画片</w:t>
                  </w:r>
                </w:p>
              </w:tc>
              <w:tc>
                <w:tcPr>
                  <w:tcW w:w="866" w:type="dxa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39" w:hRule="atLeast"/>
                <w:jc w:val="center"/>
              </w:trPr>
              <w:tc>
                <w:tcPr>
                  <w:tcW w:w="2177" w:type="dxa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他的话不无道理</w:t>
                  </w:r>
                </w:p>
              </w:tc>
              <w:tc>
                <w:tcPr>
                  <w:tcW w:w="634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754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674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59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866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39" w:hRule="atLeast"/>
                <w:jc w:val="center"/>
              </w:trPr>
              <w:tc>
                <w:tcPr>
                  <w:tcW w:w="2177" w:type="dxa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这件事你非做好不可</w:t>
                  </w:r>
                </w:p>
              </w:tc>
              <w:tc>
                <w:tcPr>
                  <w:tcW w:w="634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754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674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59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866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7" w:hRule="atLeast"/>
                <w:jc w:val="center"/>
              </w:trPr>
              <w:tc>
                <w:tcPr>
                  <w:tcW w:w="2177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634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754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674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59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866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【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val="en-US" w:eastAsia="zh-CN"/>
              </w:rPr>
              <w:t>课堂任务四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】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请尝试运用“非”运算的概念编写一个以声音和时间共同控制的小区照明灯程序，并在下方的方框内写出你的程序。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left w:w="108" w:type="dxa"/>
                <w:right w:w="108" w:type="dxa"/>
              </w:tblCellMar>
            </w:tblPr>
            <w:tblGrid>
              <w:gridCol w:w="763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left w:w="108" w:type="dxa"/>
                  <w:right w:w="108" w:type="dxa"/>
                </w:tblCellMar>
              </w:tblPrEx>
              <w:tc>
                <w:tcPr>
                  <w:tcW w:w="763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8"/>
                      <w:szCs w:val="28"/>
                      <w:vertAlign w:val="baseli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8"/>
                      <w:szCs w:val="28"/>
                      <w:vertAlign w:val="baseli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8"/>
                      <w:szCs w:val="28"/>
                      <w:vertAlign w:val="baseli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8"/>
                      <w:szCs w:val="28"/>
                      <w:vertAlign w:val="baseli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8"/>
                      <w:szCs w:val="28"/>
                      <w:vertAlign w:val="baseli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8"/>
                      <w:szCs w:val="28"/>
                      <w:vertAlign w:val="baseli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8"/>
                      <w:szCs w:val="28"/>
                      <w:vertAlign w:val="baseline"/>
                      <w:lang w:val="en-US" w:eastAsia="zh-CN"/>
                    </w:rPr>
                  </w:pP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【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val="en-US" w:eastAsia="zh-CN"/>
              </w:rPr>
              <w:t>课堂任务五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】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在编程软件的仿真环境下，你是否能模拟声音、光线的变化来验证程序执行的效果（见图2.3.6）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？</w:t>
            </w:r>
          </w:p>
          <w:p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drawing>
                <wp:inline distT="0" distB="0" distL="114300" distR="114300">
                  <wp:extent cx="2143125" cy="1666875"/>
                  <wp:effectExtent l="0" t="0" r="5715" b="9525"/>
                  <wp:docPr id="29" name="图片 13" descr="图片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13" descr="图片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3125" cy="166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drawing>
                <wp:inline distT="0" distB="0" distL="114300" distR="114300">
                  <wp:extent cx="2162175" cy="1666875"/>
                  <wp:effectExtent l="0" t="0" r="1905" b="9525"/>
                  <wp:docPr id="33" name="图片 14" descr="图片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14" descr="图片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2175" cy="166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图2.3.6 实现声光控制灯效果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将程序上传主控板，测试不同音量、不同环境亮度下灯打开和关闭的情况，你发现有哪些问题，可以如何改进？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bookmarkStart w:id="3" w:name="_GoBack"/>
            <w:bookmarkEnd w:id="3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【</w:t>
            </w:r>
            <w:r>
              <w:rPr>
                <w:rFonts w:hint="eastAsia" w:ascii="宋体" w:hAnsi="宋体" w:eastAsia="宋体" w:cs="宋体"/>
                <w:strike w:val="0"/>
                <w:dstrike w:val="0"/>
                <w:sz w:val="24"/>
                <w:szCs w:val="24"/>
                <w:highlight w:val="none"/>
                <w:lang w:val="en-US" w:eastAsia="zh-CN"/>
              </w:rPr>
              <w:t>挑战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】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对照编程软件，观察主控板，上面还有哪些部分可实现输入功能？请根据实验条件，设计一个情境，利用不同的输入设备，经过“与”运算、“或”运算、“非”运算共同控制灯的亮灭效果。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BC4DFC49-4274-4D4E-8BF4-466A7E13736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64BD19CF-426E-43FB-835C-A6A591B85F7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wOGQyOWZlNTQ2N2FkNGQ1N2E3ZDM3ZDYyZTBjNDcifQ=="/>
    <w:docVar w:name="KSO_WPS_MARK_KEY" w:val="400c7b7f-a157-4c70-8c0b-35c69a3816a1"/>
  </w:docVars>
  <w:rsids>
    <w:rsidRoot w:val="00172A27"/>
    <w:rsid w:val="01463605"/>
    <w:rsid w:val="025F1240"/>
    <w:rsid w:val="056F2E0E"/>
    <w:rsid w:val="05D9472B"/>
    <w:rsid w:val="06C74ECC"/>
    <w:rsid w:val="078A03D3"/>
    <w:rsid w:val="0947371B"/>
    <w:rsid w:val="096609CC"/>
    <w:rsid w:val="09854CCD"/>
    <w:rsid w:val="0A4B4D79"/>
    <w:rsid w:val="0C591439"/>
    <w:rsid w:val="0D841421"/>
    <w:rsid w:val="12FB3F33"/>
    <w:rsid w:val="13601849"/>
    <w:rsid w:val="13AD4B00"/>
    <w:rsid w:val="13FE5382"/>
    <w:rsid w:val="14015B78"/>
    <w:rsid w:val="17A96653"/>
    <w:rsid w:val="17AC4D67"/>
    <w:rsid w:val="17DB17D5"/>
    <w:rsid w:val="180C01B6"/>
    <w:rsid w:val="1CDA2E0B"/>
    <w:rsid w:val="1D2D0E65"/>
    <w:rsid w:val="1DA637FE"/>
    <w:rsid w:val="1EC975DB"/>
    <w:rsid w:val="235F6985"/>
    <w:rsid w:val="24577AF0"/>
    <w:rsid w:val="24E61100"/>
    <w:rsid w:val="24EA02AB"/>
    <w:rsid w:val="25861D82"/>
    <w:rsid w:val="263C0693"/>
    <w:rsid w:val="27163A82"/>
    <w:rsid w:val="29C966E1"/>
    <w:rsid w:val="29EC19BC"/>
    <w:rsid w:val="29F55728"/>
    <w:rsid w:val="2A3B2255"/>
    <w:rsid w:val="2AA56A66"/>
    <w:rsid w:val="2B2D1151"/>
    <w:rsid w:val="2CA60F5C"/>
    <w:rsid w:val="2E662479"/>
    <w:rsid w:val="2E960B5C"/>
    <w:rsid w:val="2FAF6379"/>
    <w:rsid w:val="330373EB"/>
    <w:rsid w:val="35D73F34"/>
    <w:rsid w:val="36533F02"/>
    <w:rsid w:val="36AC3612"/>
    <w:rsid w:val="384B1B1D"/>
    <w:rsid w:val="396957EB"/>
    <w:rsid w:val="3A876B18"/>
    <w:rsid w:val="3B7F6BCD"/>
    <w:rsid w:val="3DBD2B22"/>
    <w:rsid w:val="3E261EFC"/>
    <w:rsid w:val="3EB41792"/>
    <w:rsid w:val="40D07EFD"/>
    <w:rsid w:val="436B62C5"/>
    <w:rsid w:val="440A7BCA"/>
    <w:rsid w:val="462705C0"/>
    <w:rsid w:val="49EC224C"/>
    <w:rsid w:val="4A205A52"/>
    <w:rsid w:val="4BE3142D"/>
    <w:rsid w:val="506B7C43"/>
    <w:rsid w:val="515309BE"/>
    <w:rsid w:val="51E92278"/>
    <w:rsid w:val="53CF1BBC"/>
    <w:rsid w:val="55004DFD"/>
    <w:rsid w:val="553B5E36"/>
    <w:rsid w:val="557B23AE"/>
    <w:rsid w:val="55E70B1A"/>
    <w:rsid w:val="56A878F8"/>
    <w:rsid w:val="59301A29"/>
    <w:rsid w:val="5A2A483E"/>
    <w:rsid w:val="5A9B1124"/>
    <w:rsid w:val="5CC26E3C"/>
    <w:rsid w:val="5CF80B10"/>
    <w:rsid w:val="5D1F26A2"/>
    <w:rsid w:val="5D335644"/>
    <w:rsid w:val="5E794EDE"/>
    <w:rsid w:val="5F0B6879"/>
    <w:rsid w:val="5FE414ED"/>
    <w:rsid w:val="600D4AC3"/>
    <w:rsid w:val="6071159A"/>
    <w:rsid w:val="61333E65"/>
    <w:rsid w:val="63D60730"/>
    <w:rsid w:val="642B1882"/>
    <w:rsid w:val="649A50EE"/>
    <w:rsid w:val="653D51EC"/>
    <w:rsid w:val="666351EC"/>
    <w:rsid w:val="66D47E98"/>
    <w:rsid w:val="678A52DE"/>
    <w:rsid w:val="6A4F1502"/>
    <w:rsid w:val="6CD56718"/>
    <w:rsid w:val="6D064B23"/>
    <w:rsid w:val="6D5E670D"/>
    <w:rsid w:val="6E5012ED"/>
    <w:rsid w:val="705D0EFE"/>
    <w:rsid w:val="71CA4A63"/>
    <w:rsid w:val="72DA4A88"/>
    <w:rsid w:val="73B44AF9"/>
    <w:rsid w:val="75F9057E"/>
    <w:rsid w:val="76305B69"/>
    <w:rsid w:val="767D5E56"/>
    <w:rsid w:val="77AE0291"/>
    <w:rsid w:val="77F20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Body Text"/>
    <w:basedOn w:val="1"/>
    <w:qFormat/>
    <w:uiPriority w:val="0"/>
    <w:pPr>
      <w:spacing w:before="180" w:after="180"/>
      <w:ind w:firstLine="560" w:firstLineChars="200"/>
      <w:jc w:val="both"/>
    </w:p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autoRedefine/>
    <w:qFormat/>
    <w:uiPriority w:val="0"/>
    <w:rPr>
      <w:b/>
    </w:rPr>
  </w:style>
  <w:style w:type="paragraph" w:styleId="9">
    <w:name w:val="List Paragraph"/>
    <w:autoRedefine/>
    <w:qFormat/>
    <w:uiPriority w:val="0"/>
    <w:rPr>
      <w:rFonts w:ascii="Times New Roman" w:hAnsi="Times New Roman" w:cs="Times New Roman" w:eastAsiaTheme="minorEastAsia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540</Words>
  <Characters>549</Characters>
  <Lines>0</Lines>
  <Paragraphs>0</Paragraphs>
  <TotalTime>0</TotalTime>
  <ScaleCrop>false</ScaleCrop>
  <LinksUpToDate>false</LinksUpToDate>
  <CharactersWithSpaces>552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2023-10-14T09:00:00Z</dcterms:created>
  <dc:creator>T T </dc:creator>
  <cp:lastModifiedBy>吴君妍</cp:lastModifiedBy>
  <dcterms:modified xsi:type="dcterms:W3CDTF">2025-09-05T06:48:45Z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B122CEAFEF3643EBBB987C1C7584DDC7_13</vt:lpwstr>
  </property>
  <property fmtid="{D5CDD505-2E9C-101B-9397-08002B2CF9AE}" pid="4" name="KSOTemplateDocerSaveRecord">
    <vt:lpwstr>eyJoZGlkIjoiMWFmZDllZmYyNTkyYjQzZTFjNDE3MzQ1OGI4YmFjZTMiLCJ1c2VySWQiOiI1MjgxMDI2MjgifQ==</vt:lpwstr>
  </property>
</Properties>
</file>